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pPr>
      <w:r>
        <w:rPr>
          <w:rFonts w:ascii="Arial" w:cs="Arial" w:eastAsia="Arial" w:hAnsi="Arial"/>
          <w:b w:val="false"/>
          <w:bCs w:val="false"/>
          <w:i w:val="false"/>
          <w:iCs w:val="false"/>
          <w:color w:val="7A2E2E"/>
          <w:sz w:val="22"/>
          <w:szCs w:val="22"/>
        </w:rPr>
        <w:t xml:space="preserve">Cyberdeklaration</w:t>
      </w:r>
    </w:p>
    <w:p>
      <w:pPr>
        <w:spacing w:after="200"/>
      </w:pPr>
      <w:r>
        <w:rPr>
          <w:rFonts w:ascii="Arial" w:cs="Arial" w:eastAsia="Arial" w:hAnsi="Arial"/>
          <w:b/>
          <w:bCs/>
          <w:i w:val="false"/>
          <w:iCs w:val="false"/>
          <w:sz w:val="44"/>
          <w:szCs w:val="44"/>
        </w:rPr>
        <w:t xml:space="preserve">Del två. Egen deklaration</w:t>
      </w:r>
    </w:p>
    <w:p>
      <w:pPr>
        <w:spacing w:after="120"/>
      </w:pPr>
      <w:r>
        <w:rPr>
          <w:rFonts w:ascii="Arial" w:cs="Arial" w:eastAsia="Arial" w:hAnsi="Arial"/>
          <w:b w:val="false"/>
          <w:bCs w:val="false"/>
          <w:i w:val="false"/>
          <w:iCs w:val="false"/>
          <w:sz w:val="22"/>
          <w:szCs w:val="22"/>
        </w:rPr>
        <w:t xml:space="preserve">39 paragrafer i MCFFS 2026:11 som bara kan besvaras inifrån. Ifylld av verksamheten. Inte kontrollerad av Cyberdeklaration.</w:t>
      </w:r>
    </w:p>
    <w:p>
      <w:pPr>
        <w:spacing w:after="80" w:before="600"/>
      </w:pPr>
      <w:r>
        <w:rPr>
          <w:rFonts w:ascii="Arial" w:cs="Arial" w:eastAsia="Arial" w:hAnsi="Arial"/>
          <w:b/>
          <w:bCs/>
          <w:i w:val="false"/>
          <w:iCs w:val="false"/>
          <w:sz w:val="19"/>
          <w:szCs w:val="19"/>
        </w:rPr>
        <w:t xml:space="preserve">Verksamhetsutövare</w:t>
      </w:r>
    </w:p>
    <w:p>
      <w:pPr>
        <w:spacing w:after="120"/>
      </w:pPr>
      <w:r>
        <w:rPr>
          <w:rFonts w:ascii="Arial" w:cs="Arial" w:eastAsia="Arial" w:hAnsi="Arial"/>
          <w:b w:val="false"/>
          <w:bCs w:val="false"/>
          <w:i w:val="false"/>
          <w:iCs w:val="false"/>
          <w:sz w:val="19"/>
          <w:szCs w:val="19"/>
        </w:rPr>
        <w:t xml:space="preserve">________________________________________________</w:t>
      </w:r>
    </w:p>
    <w:p>
      <w:pPr>
        <w:spacing w:after="80" w:before="200"/>
      </w:pPr>
      <w:r>
        <w:rPr>
          <w:rFonts w:ascii="Arial" w:cs="Arial" w:eastAsia="Arial" w:hAnsi="Arial"/>
          <w:b/>
          <w:bCs/>
          <w:i w:val="false"/>
          <w:iCs w:val="false"/>
          <w:sz w:val="19"/>
          <w:szCs w:val="19"/>
        </w:rPr>
        <w:t xml:space="preserve">Protokollnummer för del ett</w:t>
      </w:r>
    </w:p>
    <w:p>
      <w:pPr>
        <w:spacing w:after="120"/>
      </w:pPr>
      <w:r>
        <w:rPr>
          <w:rFonts w:ascii="Arial" w:cs="Arial" w:eastAsia="Arial" w:hAnsi="Arial"/>
          <w:b w:val="false"/>
          <w:bCs w:val="false"/>
          <w:i w:val="false"/>
          <w:iCs w:val="false"/>
          <w:sz w:val="19"/>
          <w:szCs w:val="19"/>
        </w:rPr>
        <w:t xml:space="preserve">________________________________________________</w:t>
      </w:r>
    </w:p>
    <w:p>
      <w:pPr>
        <w:spacing w:after="80" w:before="200"/>
      </w:pPr>
      <w:r>
        <w:rPr>
          <w:rFonts w:ascii="Arial" w:cs="Arial" w:eastAsia="Arial" w:hAnsi="Arial"/>
          <w:b/>
          <w:bCs/>
          <w:i w:val="false"/>
          <w:iCs w:val="false"/>
          <w:sz w:val="19"/>
          <w:szCs w:val="19"/>
        </w:rPr>
        <w:t xml:space="preserve">Samordnare och datum</w:t>
      </w:r>
    </w:p>
    <w:p>
      <w:pPr>
        <w:spacing w:after="120"/>
      </w:pPr>
      <w:r>
        <w:rPr>
          <w:rFonts w:ascii="Arial" w:cs="Arial" w:eastAsia="Arial" w:hAnsi="Arial"/>
          <w:b w:val="false"/>
          <w:bCs w:val="false"/>
          <w:i w:val="false"/>
          <w:iCs w:val="false"/>
          <w:sz w:val="19"/>
          <w:szCs w:val="19"/>
        </w:rPr>
        <w:t xml:space="preserve">________________________________________________</w:t>
      </w:r>
    </w:p>
    <w:p>
      <w:pPr>
        <w:spacing w:before="800"/>
      </w:pPr>
      <w:r>
        <w:rPr>
          <w:rFonts w:ascii="Arial" w:cs="Arial" w:eastAsia="Arial" w:hAnsi="Arial"/>
          <w:b w:val="false"/>
          <w:bCs w:val="false"/>
          <w:i/>
          <w:iCs/>
          <w:sz w:val="17"/>
          <w:szCs w:val="17"/>
        </w:rPr>
        <w:t xml:space="preserve">Mall version 1.2, 7 september 2026. Följer Kontrollkatalog 1.1. Bygger på MCFFS 2026:11 i lydelsen från 1 oktober 2026. Version 1.0 och 1.1 är ersatta och bevaras endast som äldre underlag.</w:t>
      </w:r>
    </w:p>
    <w:p>
      <w:r>
        <w:br w:type="page"/>
      </w:r>
    </w:p>
    <w:p>
      <w:pPr>
        <w:pStyle w:val="Heading1"/>
        <w:spacing w:after="160" w:before="360"/>
      </w:pPr>
      <w:r>
        <w:rPr>
          <w:rFonts w:ascii="Arial" w:cs="Arial" w:eastAsia="Arial" w:hAnsi="Arial"/>
          <w:b/>
          <w:bCs/>
          <w:i w:val="false"/>
          <w:iCs w:val="false"/>
          <w:color w:val="111111"/>
          <w:sz w:val="30"/>
          <w:szCs w:val="30"/>
        </w:rPr>
        <w:t xml:space="preserve">Så använder ni mallen</w:t>
      </w:r>
    </w:p>
    <w:p>
      <w:pPr>
        <w:spacing w:after="120"/>
      </w:pPr>
      <w:r>
        <w:rPr>
          <w:rFonts w:ascii="Arial" w:cs="Arial" w:eastAsia="Arial" w:hAnsi="Arial"/>
          <w:b w:val="false"/>
          <w:bCs w:val="false"/>
          <w:i w:val="false"/>
          <w:iCs w:val="false"/>
          <w:sz w:val="19"/>
          <w:szCs w:val="19"/>
        </w:rPr>
        <w:t xml:space="preserve">Cyberdeklarationen består av två delar. Del ett är 18 paragrafer som syns utifrån, kontrollerade av oss och signerade av namngiven konsult. Del två är de 39 paragrafer som bara kan besvaras inifrån verksamheten. Ni fyller i dem själva, paragraf för paragraf, och lägger ihop med del ett. Läsaren får hela föreskriften på ett ställe och ser tydligt vad som är kontrollerat och vad som är deklarerat.</w:t>
      </w:r>
    </w:p>
    <w:p>
      <w:pPr>
        <w:spacing w:after="120"/>
      </w:pPr>
      <w:r>
        <w:rPr>
          <w:rFonts w:ascii="Arial" w:cs="Arial" w:eastAsia="Arial" w:hAnsi="Arial"/>
          <w:b w:val="false"/>
          <w:bCs w:val="false"/>
          <w:i w:val="false"/>
          <w:iCs w:val="false"/>
          <w:sz w:val="19"/>
          <w:szCs w:val="19"/>
        </w:rPr>
        <w:t xml:space="preserve">Varje paragraf har samma uppställning.</w:t>
      </w:r>
    </w:p>
    <w:p>
      <w:pPr>
        <w:pStyle w:val="ListParagraph"/>
        <w:numPr>
          <w:ilvl w:val="0"/>
          <w:numId w:val="2"/>
        </w:numPr>
        <w:spacing w:after="80"/>
      </w:pPr>
      <w:r>
        <w:rPr>
          <w:rFonts w:ascii="Arial" w:cs="Arial" w:eastAsia="Arial" w:hAnsi="Arial"/>
          <w:b w:val="false"/>
          <w:bCs w:val="false"/>
          <w:i w:val="false"/>
          <w:iCs w:val="false"/>
          <w:sz w:val="19"/>
          <w:szCs w:val="19"/>
        </w:rPr>
        <w:t xml:space="preserve">Kravet i korthet. Vår sammanfattning av vad föreskriften kräver. Vid tvivel gäller föreskriftens ordalydelse.</w:t>
      </w:r>
    </w:p>
    <w:p>
      <w:pPr>
        <w:pStyle w:val="ListParagraph"/>
        <w:numPr>
          <w:ilvl w:val="0"/>
          <w:numId w:val="2"/>
        </w:numPr>
        <w:spacing w:after="80"/>
      </w:pPr>
      <w:r>
        <w:rPr>
          <w:rFonts w:ascii="Arial" w:cs="Arial" w:eastAsia="Arial" w:hAnsi="Arial"/>
          <w:b w:val="false"/>
          <w:bCs w:val="false"/>
          <w:i w:val="false"/>
          <w:iCs w:val="false"/>
          <w:sz w:val="19"/>
          <w:szCs w:val="19"/>
        </w:rPr>
        <w:t xml:space="preserve">Vad som normalt behöver finnas. Vår beskrivning av vad som brukar behövas för att kunna svara ja. Bindande krav framgår av föreskriftens ordalydelse. Det som kommer från allmänna råd är märkt som råd och är inte bindande.</w:t>
      </w:r>
    </w:p>
    <w:p>
      <w:pPr>
        <w:pStyle w:val="ListParagraph"/>
        <w:numPr>
          <w:ilvl w:val="0"/>
          <w:numId w:val="2"/>
        </w:numPr>
        <w:spacing w:after="80"/>
      </w:pPr>
      <w:r>
        <w:rPr>
          <w:rFonts w:ascii="Arial" w:cs="Arial" w:eastAsia="Arial" w:hAnsi="Arial"/>
          <w:b w:val="false"/>
          <w:bCs w:val="false"/>
          <w:i w:val="false"/>
          <w:iCs w:val="false"/>
          <w:sz w:val="19"/>
          <w:szCs w:val="19"/>
        </w:rPr>
        <w:t xml:space="preserve">Exempel på underlag. Våra exempel på dokument eller utdrag. Det är exempel, inte en förteckning som en myndighet alltid godtar.</w:t>
      </w:r>
    </w:p>
    <w:p>
      <w:pPr>
        <w:pStyle w:val="ListParagraph"/>
        <w:numPr>
          <w:ilvl w:val="0"/>
          <w:numId w:val="2"/>
        </w:numPr>
        <w:spacing w:after="80"/>
      </w:pPr>
      <w:r>
        <w:rPr>
          <w:rFonts w:ascii="Arial" w:cs="Arial" w:eastAsia="Arial" w:hAnsi="Arial"/>
          <w:b w:val="false"/>
          <w:bCs w:val="false"/>
          <w:i w:val="false"/>
          <w:iCs w:val="false"/>
          <w:sz w:val="19"/>
          <w:szCs w:val="19"/>
        </w:rPr>
        <w:t xml:space="preserve">Status. Kryssa ett alternativ. Ej tillämpligt ska motiveras med relevant bestämmelse eller ett tillämpligt beslut. Beakta föreskriftens tillämpningsområde, villkoren i den aktuella paragrafen och eventuellt beslut om undantag. FRA kan enligt 7 kap. 1 § MCFFS 2026:11, om det finns särskilda skäl, medge undantag i enskilda fall. Ett eget ställningstagande i mallen ersätter inte ett sådant beslut.</w:t>
      </w:r>
    </w:p>
    <w:p>
      <w:pPr>
        <w:pStyle w:val="ListParagraph"/>
        <w:numPr>
          <w:ilvl w:val="0"/>
          <w:numId w:val="2"/>
        </w:numPr>
        <w:spacing w:after="80"/>
      </w:pPr>
      <w:r>
        <w:rPr>
          <w:rFonts w:ascii="Arial" w:cs="Arial" w:eastAsia="Arial" w:hAnsi="Arial"/>
          <w:b w:val="false"/>
          <w:bCs w:val="false"/>
          <w:i w:val="false"/>
          <w:iCs w:val="false"/>
          <w:sz w:val="19"/>
          <w:szCs w:val="19"/>
        </w:rPr>
        <w:t xml:space="preserve">Ert svar. Beskriv kort hur ni har gjort hos er. Tre till fem meningar räcker.</w:t>
      </w:r>
    </w:p>
    <w:p>
      <w:pPr>
        <w:pStyle w:val="ListParagraph"/>
        <w:numPr>
          <w:ilvl w:val="0"/>
          <w:numId w:val="2"/>
        </w:numPr>
        <w:spacing w:after="80"/>
      </w:pPr>
      <w:r>
        <w:rPr>
          <w:rFonts w:ascii="Arial" w:cs="Arial" w:eastAsia="Arial" w:hAnsi="Arial"/>
          <w:b w:val="false"/>
          <w:bCs w:val="false"/>
          <w:i w:val="false"/>
          <w:iCs w:val="false"/>
          <w:sz w:val="19"/>
          <w:szCs w:val="19"/>
        </w:rPr>
        <w:t xml:space="preserve">Underlag, referens. Dokumentnamn, version och var det finns. Bifoga inte dokumenten, hänvisa till dem.</w:t>
      </w:r>
    </w:p>
    <w:p>
      <w:pPr>
        <w:pStyle w:val="ListParagraph"/>
        <w:numPr>
          <w:ilvl w:val="0"/>
          <w:numId w:val="2"/>
        </w:numPr>
        <w:spacing w:after="80"/>
      </w:pPr>
      <w:r>
        <w:rPr>
          <w:rFonts w:ascii="Arial" w:cs="Arial" w:eastAsia="Arial" w:hAnsi="Arial"/>
          <w:b w:val="false"/>
          <w:bCs w:val="false"/>
          <w:i w:val="false"/>
          <w:iCs w:val="false"/>
          <w:sz w:val="19"/>
          <w:szCs w:val="19"/>
        </w:rPr>
        <w:t xml:space="preserve">Ansvarig roll och datum. Vem som svarat och när.</w:t>
      </w:r>
    </w:p>
    <w:p>
      <w:pPr>
        <w:spacing w:after="120"/>
      </w:pPr>
      <w:r>
        <w:rPr>
          <w:rFonts w:ascii="Arial" w:cs="Arial" w:eastAsia="Arial" w:hAnsi="Arial"/>
          <w:b w:val="false"/>
          <w:bCs w:val="false"/>
          <w:i w:val="false"/>
          <w:iCs w:val="false"/>
          <w:sz w:val="19"/>
          <w:szCs w:val="19"/>
        </w:rPr>
        <w:t xml:space="preserve">Paragrafer som har kopplats till extern kontroll i del ett kan också ha interna delar. De kräver kompletterande underlag inifrån. Där protokollet anger Ej observerbart hänvisar ni till er egen dokumentation i del ett, inte här.</w:t>
      </w:r>
    </w:p>
    <w:p>
      <w:pPr>
        <w:spacing w:after="120"/>
      </w:pPr>
      <w:r>
        <w:rPr>
          <w:rFonts w:ascii="Arial" w:cs="Arial" w:eastAsia="Arial" w:hAnsi="Arial"/>
          <w:b w:val="false"/>
          <w:bCs w:val="false"/>
          <w:i w:val="false"/>
          <w:iCs w:val="false"/>
          <w:sz w:val="19"/>
          <w:szCs w:val="19"/>
        </w:rPr>
        <w:t xml:space="preserve">Sammanställningen sist i dokumentet fylls i när alla rader är besvarade. Den är avsedd som samordnarens underlag enligt 3 kap. 6 §. Ledningens information minst en gång per år följer av 3 kap. 4 § 5.</w:t>
      </w:r>
    </w:p>
    <w:p>
      <w:pPr>
        <w:spacing w:after="120"/>
      </w:pPr>
      <w:r>
        <w:rPr>
          <w:rFonts w:ascii="Arial" w:cs="Arial" w:eastAsia="Arial" w:hAnsi="Arial"/>
          <w:b w:val="false"/>
          <w:bCs w:val="false"/>
          <w:i w:val="false"/>
          <w:iCs w:val="false"/>
          <w:sz w:val="19"/>
          <w:szCs w:val="19"/>
        </w:rPr>
        <w:t xml:space="preserve">Föreskriftens 6 kap. gäller endast offentlig förvaltning. Övriga verksamhetsutövare markerar de två raderna som Ej tillämpligt med hänvisning till 1 kap. cybersäkerhetslagen.</w:t>
      </w:r>
    </w:p>
    <w:p>
      <w:r>
        <w:br w:type="page"/>
      </w:r>
    </w:p>
    <w:p>
      <w:pPr>
        <w:pStyle w:val="Heading1"/>
        <w:spacing w:after="160" w:before="360"/>
      </w:pPr>
      <w:r>
        <w:rPr>
          <w:rFonts w:ascii="Arial" w:cs="Arial" w:eastAsia="Arial" w:hAnsi="Arial"/>
          <w:b/>
          <w:bCs/>
          <w:i w:val="false"/>
          <w:iCs w:val="false"/>
          <w:color w:val="111111"/>
          <w:sz w:val="30"/>
          <w:szCs w:val="30"/>
        </w:rPr>
        <w:t xml:space="preserve">2 kap. Ledningens utbildning</w:t>
      </w:r>
    </w:p>
    <w:p>
      <w:pPr>
        <w:pStyle w:val="Heading2"/>
        <w:spacing w:after="120" w:before="280"/>
      </w:pPr>
      <w:r>
        <w:rPr>
          <w:rFonts w:ascii="Arial" w:cs="Arial" w:eastAsia="Arial" w:hAnsi="Arial"/>
          <w:b/>
          <w:bCs/>
          <w:i w:val="false"/>
          <w:iCs w:val="false"/>
          <w:color w:val="111111"/>
          <w:sz w:val="23"/>
          <w:szCs w:val="23"/>
        </w:rPr>
        <w:t xml:space="preserve">2 kap. 1 §. Ledningens utbildning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Ledningen ska ha den kunskap som krävs för att fastställa mål och inriktning, bedöma vilka säkerhetsåtgärder som behövs utifrån risk och övervaka genomförandet.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Genomförd utbildning för samtliga i ledningen med det innehåll allmänna råden anger. Ledningens roll och terminologi, sektorsverksamhetens betydelse, riskhantering och övervakning samt interna regler och stöd. Plan för nytillkomna ledamöter.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Utbildningsintyg eller deltagarlista med datum, kursbeskrivning, beslut om utbildningsplan.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1"/>
        <w:spacing w:after="160" w:before="360"/>
      </w:pPr>
      <w:r>
        <w:rPr>
          <w:rFonts w:ascii="Arial" w:cs="Arial" w:eastAsia="Arial" w:hAnsi="Arial"/>
          <w:b/>
          <w:bCs/>
          <w:i w:val="false"/>
          <w:iCs w:val="false"/>
          <w:color w:val="111111"/>
          <w:sz w:val="30"/>
          <w:szCs w:val="30"/>
        </w:rPr>
        <w:t xml:space="preserve">3 kap. Organisatoriska säkerhetsåtgärder</w:t>
      </w:r>
    </w:p>
    <w:p>
      <w:pPr>
        <w:pStyle w:val="Heading2"/>
        <w:spacing w:after="120" w:before="280"/>
      </w:pPr>
      <w:r>
        <w:rPr>
          <w:rFonts w:ascii="Arial" w:cs="Arial" w:eastAsia="Arial" w:hAnsi="Arial"/>
          <w:b/>
          <w:bCs/>
          <w:i w:val="false"/>
          <w:iCs w:val="false"/>
          <w:color w:val="111111"/>
          <w:sz w:val="23"/>
          <w:szCs w:val="23"/>
        </w:rPr>
        <w:t xml:space="preserve">3 kap. 1 §. Systematiskt och riskbaserat arbete</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Bedriv ett systematiskt och riskbaserat cybersäkerhetsarbete ur ett allriskperspektiv, integrerat i hur organisationen leds. Identifiera krav och risker, inför åtgärder, följ upp och förbättra.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Beskrivning av arbetssättet, årshjul eller motsvarande, koppling till ordinarie verksamhetsplanering och budget.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Styrande dokument för cybersäkerhetsarbetet med fastställandedatum, årsplan, protokoll från ledningens genomgång.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2 §. Standarder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och hantera behovet av att använda relevanta standarder.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om vilka standarder som används, till exempel ISO 27001 och 27002, eller ett motiverat beslut om annat stöd.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eller policy, gap-analys mot vald standard, eventuellt certifikat.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3 §. Interna regler och arbetssätt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Fastställ regler och arbetssätt utifrån mål, krav och risker. Kommunicera dem till berörd personal. Dokumentera och spara det som behövs för uppföljning och tillsyn.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Regelverk där varje regel anger säkerhetsåtgärd, roller, datum, ansvar för uppdatering, vad som ska göras och hur efterlevnad dokumenteras. Beslut om vad som sparas för tillsynsändamål och hur länge.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Förteckning över interna regler med versioner, publicering på intranät, dokumenthanteringsplan.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4 §. Ledningens godkännande och övervakning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Ledningen ska säkerställa mål och inriktning, sina egna uppgifter, resurser och befogenheter för roller. Ledningen ska enligt 3 kap. 4 § 5 informeras minst en gång per år.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Fastställda mål, beslut om kriterier för riskacceptans, prioriteringsordning för återställning och vilka system som är sektorskritiska.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Ledningsbeslut, protokoll från årlig genomgång, resurs- och budgetbeslut.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5 §. Samordnare, informationsägare och systemägare</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Utse samordnare, informationsägare och systemägare. All informationsbehandling och alla system ska ha en utsedd ägare.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Rollbeskrivningar och en aktuell lista över vem som äger vilken information och vilket 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om utnämning, förteckning system mot systemägare och informationsbehandling mot informationsägare.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6 §. Samordnarens uppgift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Samordna arbetet, utvärdera nivån av cybersäkerhet mot krav och risker och sammanställa underlag till ledningen.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Samordnarens uppdragsbeskrivning och den återkommande sammanställningen med allvarliga hot, brister hos leverantörer, revisions- och tillsynsresultat, utvärdering och hinder.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Senaste underlaget till ledningen, samordnarens uppdrag, anteckningar från genomgång. Del ett av Cyberdeklarationen kan bifogas som extern granskning.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7 §. Informationsägarens uppgift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Värdera informationen, analysera risker, bedöma skyddsnivå, informera systemägaren om skyddsnivå och acceptabla avbrottstider, säkerställa åtgärder.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Informationsklassning per informationsmängd med angiven skyddsnivå och acceptabla tider för otillgänglighet.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Ifyllda klassningar, meddelande till systemägare, riskanalys per informationsbehandling.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8 §. Systemägarens uppgift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Säkerställa att risker analyserats och att skyddsnivån uppnås under hela systemets livslängd. Informera informationsägaren om brister.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Systemägarens rutin, riskanalys per system, rutin för att rapportera brister till informationsägaren.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Riskanalys och åtgärdsplan per system, exempel på rapporterad brist.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9 §. Personalsäkerhet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Fastställ kontroller vid rekrytering och vid förändrad åtkomst samt utbildningar, övningar och informationsinsatser före och under anställning. Gäller även kontrakterad personal.</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 för kontroller med utgångspunkt i vilken information och vilka system personen får tillgång till, utbildningsplan per roll, rutin vid avslut med information om begränsningar.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Rutindokument, genomförda utbildningar per roll, checklista vid avslut.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10 §. Omvärldsbevakning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Bevaka hot, sårbarheter, teknisk utveckling, rättsliga krav och tillgängligt stöd. Inhämta information från leverantörer och från NCSC vid FRA.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Utpekad ansvarig, lista över källor och prenumerationer, beskrivning av hur informationen förs in i riskarbetet.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Källförteckning, bekräftelse på prenumeration hos NCSC, exempel på hur en bevakad sårbarhet hanterats.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11 §. Informationsklassning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Värdera information utifrån konfidentialitet, riktighet och tillgänglighet. Fastställ antal nivåer och kriterier.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Klassningsmodell vars nivåer hänger ihop med riskanalysens konsekvensnivåer.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Beslutad klassningsmodell, klassningar för sektorskritisk information.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12 §. Riskhantering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analysera och värdera risker utifrån konsekvens och sannolikhet med kriterier som gör risker jämförbara över tid. Fastställ kriterier för riskacceptans. Uppdatera vid nya hot och sårbarheter.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Riskmetod, riskregister med de områden allmänna råden räknar upp, rutin för uppdatering.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Riskregister med datum, beslut om riskacceptanskriterier, senaste uppdatering efter ny sårbarhet.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13 §. Åtgärdsplan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Välj åtgärder utifrån riskanalys och riskacceptans. Dokumentera i en åtgärdsplan med ansvarig roll och tidpunkt.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Åtgärdsplan kopplad till riskregistret, gärna med övervägda alternativ.</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Aktuell åtgärdsplan med status och spårbarhet från risk till åtgärd.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14 §. Kontinuitetshantering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Hantera behovet av kontinuitet, fastställ prioriteringsordning för återställning, fastställ och öva alternativa arbetssätt.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Kontinuitetsplan, prioriteringsordning beslutad av ledningen, alternativa arbetssätt, rutin för återgång, övning minst årligen enligt råd.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Kontinuitetsplan, övningsrapport från senaste året.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16 §. Krisorganisation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Tydliggör i förväg roller, ansvar och befogenheter för att hantera kriser. Säkerställ tillgång till stöd från relevanta leverantörer.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Krisorganisation med kontaktvägar, avtal eller överenskommelse om leverantörsstöd vid kris.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Krisplan med rollista, avtalsklausuler om stöd, larmlista.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18 §. Krishantering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Kunna aktivera krisorganisationen, begränsa konsekvenser, säkra uthållighet och kommunicera internt och externt. Öva krishanteringen.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Krishanteringsrutin med stabsmetodik, robusta kanaler för kriskommunikation, övning minst årligen enligt råd, WIS enligt råd.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Övningsrapport, beslut om kriskommunikationskanaler, WIS-konto.</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19 §. Uppföljning och utvärdering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Följ upp och utvärdera om säkerhetsåtgärderna är lämpliga och proportionella. Det uttryckliga kravet på uppföljning minst en gång per år gäller sektorskritiska system. Identifiera förbättringar.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Plan för egenkontroll och uppföljning. Intern och extern revision samt de tillfällen då uppföljning bör ske följer av allmänna råd och är inte bindande.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Uppföljningsrapport, revisionsrapport. Del ett av Cyberdeklaration är en extern kontroll av utsidan och kan ingå som ett av flera underlag.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1"/>
        <w:spacing w:after="160" w:before="360"/>
      </w:pPr>
      <w:r>
        <w:rPr>
          <w:rFonts w:ascii="Arial" w:cs="Arial" w:eastAsia="Arial" w:hAnsi="Arial"/>
          <w:b/>
          <w:bCs/>
          <w:i w:val="false"/>
          <w:iCs w:val="false"/>
          <w:color w:val="111111"/>
          <w:sz w:val="30"/>
          <w:szCs w:val="30"/>
        </w:rPr>
        <w:t xml:space="preserve">4 kap. Tekniska och driftrelaterade säkerhetsåtgärder</w:t>
      </w:r>
    </w:p>
    <w:p>
      <w:pPr>
        <w:pStyle w:val="Heading2"/>
        <w:spacing w:after="120" w:before="280"/>
      </w:pPr>
      <w:r>
        <w:rPr>
          <w:rFonts w:ascii="Arial" w:cs="Arial" w:eastAsia="Arial" w:hAnsi="Arial"/>
          <w:b/>
          <w:bCs/>
          <w:i w:val="false"/>
          <w:iCs w:val="false"/>
          <w:color w:val="111111"/>
          <w:sz w:val="23"/>
          <w:szCs w:val="23"/>
        </w:rPr>
        <w:t xml:space="preserve">4 kap. 3 §. Certifierade produkter och tjänster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och hantera behovet av att välja produkter, tjänster och processer som är certifierade enligt EU:s cybersäkerhetsakt. Sektorskritiska system bör enligt råd använda certifierade produkter.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Ställningstagande i inköpsrutinen, krav i upphandlingsunderlag.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Upphandlingsmall med certifieringskrav, motivering där certifiering saknas.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4 §. Avtal om säkerhetsåtgärder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Avtal om förvärv och utkontraktering ska säkerställa att säkerhetsåtgärder kan genomföras och förvaltas över tid.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Avtalsmall som reglerar det allmänna råden räknar upp. Kontaktuppgifter till leverantörens systemägare, kompetens, information om incidenter och sårbarheter, underleverantörer, kontroll mot skadlig kod, övning, uppföljning åt båda håll, förtida uppsägning och återlämning av information. Kontroll av klassning och risk före utkontraktering.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Avtalsmall, exempel på tecknat avtal, checklista före utkontraktering.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5 §. Säker utveckling och underhåll</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Involvera informations- och systemägare, håll klassning, riskanalys och åtgärdsplan uppdaterade och följ etablerade metoder för säker utveckling.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Utvecklingsprocess med säkerhetskrav, granskning och test som villkor för leverans.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Processbeskrivning, rutin för kodgranskning, exempel från ett genomfört projekt.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6 §. Driftsättning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Före första driftsättning ska dokumentation, säkerhetstester, resurser och åtgärder finnas och beslut vara fattat. Brister ska dokumenteras och risker omhändertas.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Driftsättningschecklista med beslutssteg, tillämpad även vid större förändringar av driftsatta 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Ifylld checklista, testrapport, driftsättningsbeslut.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7 §. Avveckling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Före avveckling ska resurser, beslut, riskhantering och åtgärdsplan finnas.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Avvecklingsrutin med beslut och plan.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Avvecklingsbeslut, plan, kvitto på destruktion eller migrering av information.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10 §. Driftdokumentation och sektorskritiska system</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Håll driftdokumentationen uppdaterad och fastställ vilka system som är sektorskritiska.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Driftdokumentation per system med det innehåll allmänna råden anger, beslutad lista över sektorskritiska 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om sektorskritiska system, driftdokumentation för ett sektorskritiskt 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12 §. Avskild utvecklings-, test- och utbildningsmiljö</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Utveckling, test och utbildning som kan påverka produktionsmiljöns it-segment ska bedrivas avskilt. Hantera behovet för ot-segment.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Miljöindelning beskriven i arkitekturdokumentationen, teknisk åtskillnad.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Nätverksskiss, beskrivning av hur miljöerna hålls isär.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18 §. E-legitimation för mottagare av externa tjänster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och hantera behovet av att mottagare av externa tjänster identifierar sig med e-legitimation eller motsvarande.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Bedömning per extern tjänst med beslut.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med motivering, lista över tjänster med inloggningsmetod.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20 §. Övervakning och larm</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Hantera behovet av övervakning, larm och realtidsövervakning. Anslut till ANTS hos den nationella CSIRT-enheten om inte uppenbart obehövligt. Hantera behovet av MISP-SE.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Övervakningslösning, larmrutin med åtgärder, bekräftad ANTS-anslutning, ställningstagande om MISP-SE.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Bekräftelse på ANTS-anslutning, larmrutin, utdrag från övervakningen.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21 §. Säkerhetsloggning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Logga obehörig åtkomst och försök till obehörig åtkomst samt, om inte uppenbart obehövligt, åtkomst, systemadministrativ användning, konfigurationsändringar, behörighetsändringar och åtkomst till skyddad information. Skydda och spara loggarna.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Loggpolicy med vad som loggas, innehåll per händelse, lagringstid och skydd.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Loggpolicy, exempel på loggutdrag, beslut om lagringstid.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22 §. Logganalys</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Analysera säkerhetsloggarna för varje system med ett intervall som passar krav och risk.</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Analysrutin med intervall per system, gärna centralt systemstöd.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 rapport från analys, konfiguration av centralt loggsystem.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23 §. Robust och korrekt tid</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Använd robust och korrekt tid koordinerad till UTC (SP) i produktionsmiljön. Hantera behovet i övriga miljöer.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Dokumenterad tidskälla.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Konfiguration av tidssynkronisering mot Swedish Distributed Time Service eller motsvarande.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28 §. Återställning och säkerhetskopiering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Kunna återställa information inom fastställda acceptabla tider. Hantera behovet av säkerhetskopiering.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 som anger vad som kopieras, hur ofta, hur kopiorna skyddas och sparas samt hur återläsning testas. Minst en kopia på separerad hårdvara enligt råd.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 protokoll från återläsningstest med datum, beskrivning av den separerade kopian.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29 §. Intrångsdetektering och intrångsskydd</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Använd intrångsdetektering och intrångsskydd för it-segment i produktionsmiljön. Hantera behovet för ot-segment och övriga miljöer.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Införd lösning med dokumenterad täckning per segment.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Beskrivning av lösningen, täckningskarta, exempel på larm.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30 §. Ändringshantering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Bedriv strukturerad och spårbar ändringshantering vid införande, uppgradering, uppdatering och avveckling i produktionsmiljön.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Ändringsprocess med godkännande, rutin för avbruten ändring, uppdatering utan onödigt dröjsmål enligt råd.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Processbeskrivning, ärendelogg, exempel på godkänd ändring.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1"/>
        <w:spacing w:after="160" w:before="360"/>
      </w:pPr>
      <w:r>
        <w:rPr>
          <w:rFonts w:ascii="Arial" w:cs="Arial" w:eastAsia="Arial" w:hAnsi="Arial"/>
          <w:b/>
          <w:bCs/>
          <w:i w:val="false"/>
          <w:iCs w:val="false"/>
          <w:color w:val="111111"/>
          <w:sz w:val="30"/>
          <w:szCs w:val="30"/>
        </w:rPr>
        <w:t xml:space="preserve">5 kap. Fysiska säkerhetsåtgärder</w:t>
      </w:r>
    </w:p>
    <w:p>
      <w:pPr>
        <w:pStyle w:val="Heading2"/>
        <w:spacing w:after="120" w:before="280"/>
      </w:pPr>
      <w:r>
        <w:rPr>
          <w:rFonts w:ascii="Arial" w:cs="Arial" w:eastAsia="Arial" w:hAnsi="Arial"/>
          <w:b/>
          <w:bCs/>
          <w:i w:val="false"/>
          <w:iCs w:val="false"/>
          <w:color w:val="111111"/>
          <w:sz w:val="23"/>
          <w:szCs w:val="23"/>
        </w:rPr>
        <w:t xml:space="preserve">5 kap. 1 §. Lokaler och tillträde</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Skydda lokaler där information behandlas genom tillträdesbegränsning och, om inte uppenbart obehövligt, bevakning. Kontrollera personals och besökares identitet. Hantera behovet av särskilda it- och ot-utrymmen.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Tillträdesrutin, besökshantering. Enligt allmänt råd bör tillträde till särskilda it- och ot-utrymmen vara restriktivt och registreras på individnivå. Rådet gäller dessa utrymmen, inte varje besök i verksamheten.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Tillträdespolicy, besöksloggar, lista över särskilda utrymmen med behöriga.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5 kap. 2 §. Bevakning och larm</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Särskilda it- och ot-utrymmen ska ha bevakning och larm med åtgärder vid larm, om inte uppenbart obehövligt. Hantera behovet för övriga lokaler.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Larmsystem och åtgärdsrutin.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Larmavtal, larmlogg, rutin vid larm.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5 kap. 3 §. Brand, vatten, fukt och temperatur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Hantera behovet av skydd mot brand, vattenskador, skadlig luftfuktighet och skadlig temperatur.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Bedömning per utrymme och installerat skydd.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Riskbedömning, servicerapporter för brandlarm och kyla.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5 kap. 4 §. Tekniska försörjningssystem</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Säkerställ el, kyla, värme, ventilation och externa kommunikationsnät. Hantera behovet av övervakning, larm och redundans.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UPS, reservkraft, redundanta förbindelser och övervakning där behovet finns.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Testprotokoll för UPS och reservkraft, avtal om redundant förbindelse, larmrutin.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1"/>
        <w:spacing w:after="160" w:before="360"/>
      </w:pPr>
      <w:r>
        <w:rPr>
          <w:rFonts w:ascii="Arial" w:cs="Arial" w:eastAsia="Arial" w:hAnsi="Arial"/>
          <w:b/>
          <w:bCs/>
          <w:i w:val="false"/>
          <w:iCs w:val="false"/>
          <w:color w:val="111111"/>
          <w:sz w:val="30"/>
          <w:szCs w:val="30"/>
        </w:rPr>
        <w:t xml:space="preserve">6 kap. Sektorsspecifika säkerhetsåtgärder, gäller offentlig förvaltning</w:t>
      </w:r>
    </w:p>
    <w:p>
      <w:pPr>
        <w:pStyle w:val="Heading2"/>
        <w:spacing w:after="120" w:before="280"/>
      </w:pPr>
      <w:r>
        <w:rPr>
          <w:rFonts w:ascii="Arial" w:cs="Arial" w:eastAsia="Arial" w:hAnsi="Arial"/>
          <w:b/>
          <w:bCs/>
          <w:i w:val="false"/>
          <w:iCs w:val="false"/>
          <w:color w:val="111111"/>
          <w:sz w:val="23"/>
          <w:szCs w:val="23"/>
        </w:rPr>
        <w:t xml:space="preserve">6 kap. 1 §. System för samverkan och kriskommunikation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Kontrollera cybersäkerheten i system som ska användas för samverkan och kriskommunikation. Paragrafen anger inte något intervall. Enligt allmänt råd bör kontroll ske minst var tredje månad. Rådet är inte bindande.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Lista över systemen och en kontrollrutin med intervall.</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Kontrollrutin och genomförda kontroller, till exempel per kvartal om ni följer rådet. Vilket underlag som godtas avgörs av tillsynsmyndigheten.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6 kap. 2 §. Rakel, SWEN och SGSI</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och hantera behovet av Rakel eller SWEN samt SGSI för kriskommunikation.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Bedömning och beslut.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avtal, terminalförteckning.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r>
        <w:br w:type="page"/>
      </w:r>
    </w:p>
    <w:p>
      <w:pPr>
        <w:pStyle w:val="Heading1"/>
        <w:spacing w:after="160" w:before="360"/>
      </w:pPr>
      <w:r>
        <w:rPr>
          <w:rFonts w:ascii="Arial" w:cs="Arial" w:eastAsia="Arial" w:hAnsi="Arial"/>
          <w:b/>
          <w:bCs/>
          <w:i w:val="false"/>
          <w:iCs w:val="false"/>
          <w:color w:val="111111"/>
          <w:sz w:val="30"/>
          <w:szCs w:val="30"/>
        </w:rPr>
        <w:t xml:space="preserve">Sammanställning, 39 rader</w:t>
      </w:r>
    </w:p>
    <w:p>
      <w:pPr>
        <w:spacing w:after="120"/>
      </w:pPr>
      <w:r>
        <w:rPr>
          <w:rFonts w:ascii="Arial" w:cs="Arial" w:eastAsia="Arial" w:hAnsi="Arial"/>
          <w:b w:val="false"/>
          <w:bCs w:val="false"/>
          <w:i w:val="false"/>
          <w:iCs w:val="false"/>
          <w:sz w:val="19"/>
          <w:szCs w:val="19"/>
        </w:rPr>
        <w:t xml:space="preserve">Fylls i sist. Status och referens per paragraf, för samordnarens underlag till ledningen och som översikt vid tillsyn.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700"/>
        <w:gridCol w:w="4000"/>
        <w:gridCol w:w="1400"/>
        <w:gridCol w:w="2200"/>
      </w:tblGrid>
      <w:tr>
        <w:trPr>
          <w:tblHeader/>
        </w:trPr>
        <w:tc>
          <w:tcPr>
            <w:tcW w:type="dxa" w:w="17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Paragraf</w:t>
            </w:r>
          </w:p>
        </w:tc>
        <w:tc>
          <w:tcPr>
            <w:tcW w:type="dxa" w:w="40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Rubrik</w:t>
            </w:r>
          </w:p>
        </w:tc>
        <w:tc>
          <w:tcPr>
            <w:tcW w:type="dxa" w:w="14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22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2 kap. 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Ledningens utbildning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Systematiskt och riskbaserat arbete</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Standarder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Interna regler och arbetssätt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4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Ledningens godkännande och övervakning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5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Samordnare, informationsägare och systemägare</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6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Samordnarens uppgift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7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Informationsägarens uppgift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8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Systemägarens uppgift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9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Personalsäkerhet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10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Omvärldsbevakning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Informationsklassning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Riskhantering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Åtgärdsplan</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14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Kontinuitetshantering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16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Krisorganisation</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18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Krishantering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19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Uppföljning och utvärdering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Certifierade produkter och tjänster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4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Avtal om säkerhetsåtgärder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5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Säker utveckling och underhåll</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6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Driftsättning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7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Avveckling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10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Driftdokumentation och sektorskritiska system</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12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Avskild utvecklings-, test- och utbildningsmiljö</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18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E-legitimation för mottagare av externa tjänster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20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Övervakning och larm</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Säkerhetsloggning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Logganalys</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Robust och korrekt tid</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28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Återställning och säkerhetskopiering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29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Intrångsdetektering och intrångsskydd</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30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Ändringshantering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5 kap. 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Lokaler och tillträde</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5 kap. 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Bevakning och larm</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5 kap. 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Brand, vatten, fukt och temperatur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5 kap. 4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Tekniska försörjningssystem</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6 kap. 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System för samverkan och kriskommunikation</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6 kap. 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Rakel, SWEN och SGSI</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spacing w:before="400"/>
      </w:pPr>
      <w:r>
        <w:rPr>
          <w:rFonts w:ascii="Arial" w:cs="Arial" w:eastAsia="Arial" w:hAnsi="Arial"/>
          <w:b w:val="false"/>
          <w:bCs w:val="false"/>
          <w:i/>
          <w:iCs/>
          <w:sz w:val="18"/>
          <w:szCs w:val="18"/>
        </w:rPr>
        <w:t xml:space="preserve">Del två är ifylld av verksamheten under eget ansvar. Cyberdeklaration har inte kontrollerat innehållet och skriver inte under det. Del ett är kontrollerad och signerad separat.</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5"/>
        <w:szCs w:val="15"/>
      </w:rPr>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b w:val="false"/>
        <w:bCs w:val="false"/>
        <w:i w:val="false"/>
        <w:iCs w:val="false"/>
        <w:color w:val="666666"/>
        <w:sz w:val="15"/>
        <w:szCs w:val="15"/>
      </w:rPr>
      <w:t xml:space="preserve">Cyberdeklaration. Del två. Egen deklaration. Ifylld av verksamheten, inte kontrollerad av Cyberdeklaration.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360"/>
      </w:pPr>
    </w:lvl>
  </w:abstractNum>
  <w:abstractNum w:abstractNumId="3" w15:restartNumberingAfterBreak="0">
    <w:multiLevelType w:val="hybridMultilevel"/>
    <w:lvl w:ilvl="0" w15:tentative="1">
      <w:start w:val="1"/>
      <w:numFmt w:val="decimal"/>
      <w:lvlText w:val="%1."/>
      <w:lvlJc w:val="left"/>
      <w:pPr>
        <w:ind w:left="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2026-09-07T05:02:40.323Z</dcterms:created>
  <dcterms:modified xsi:type="dcterms:W3CDTF">2026-09-07T05:02:40.333Z</dcterms:modified>
</cp:coreProperties>
</file>

<file path=docProps/custom.xml><?xml version="1.0" encoding="utf-8"?>
<Properties xmlns="http://schemas.openxmlformats.org/officeDocument/2006/custom-properties" xmlns:vt="http://schemas.openxmlformats.org/officeDocument/2006/docPropsVTypes"/>
</file>